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E2" w:rsidRPr="00294873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  <w:r w:rsidRPr="00294873">
        <w:rPr>
          <w:rFonts w:ascii="Georgia" w:hAnsi="Georgia" w:cs="Times New Roman"/>
          <w:color w:val="083B51"/>
          <w:kern w:val="36"/>
          <w:sz w:val="70"/>
          <w:szCs w:val="70"/>
        </w:rPr>
        <w:t>Basic Science: Microbiology</w:t>
      </w:r>
    </w:p>
    <w:p w:rsidR="00C434E2" w:rsidRPr="00294873" w:rsidRDefault="00C434E2" w:rsidP="00294873">
      <w:pPr>
        <w:shd w:val="clear" w:color="auto" w:fill="FFFFFF"/>
        <w:bidi w:val="0"/>
        <w:spacing w:after="150" w:line="270" w:lineRule="atLeast"/>
        <w:rPr>
          <w:rFonts w:ascii="Georgia" w:hAnsi="Georgia" w:cs="Times New Roman"/>
          <w:color w:val="000000"/>
          <w:sz w:val="26"/>
          <w:szCs w:val="26"/>
        </w:rPr>
      </w:pPr>
      <w:r w:rsidRPr="00294873">
        <w:rPr>
          <w:rFonts w:ascii="Georgia" w:hAnsi="Georgia" w:cs="Times New Roman"/>
          <w:color w:val="000000"/>
          <w:sz w:val="26"/>
          <w:szCs w:val="26"/>
        </w:rPr>
        <w:t>The Basic Science Microbiology content outline includes:</w:t>
      </w:r>
    </w:p>
    <w:tbl>
      <w:tblPr>
        <w:tblW w:w="5000" w:type="pct"/>
        <w:tblInd w:w="-73" w:type="dxa"/>
        <w:tblBorders>
          <w:top w:val="single" w:sz="6" w:space="0" w:color="DEEBF3"/>
          <w:left w:val="single" w:sz="6" w:space="0" w:color="DEEBF3"/>
          <w:bottom w:val="single" w:sz="6" w:space="0" w:color="DEEBF3"/>
          <w:right w:val="single" w:sz="6" w:space="0" w:color="DEEBF3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20"/>
        <w:gridCol w:w="6465"/>
        <w:gridCol w:w="1511"/>
      </w:tblGrid>
      <w:tr w:rsidR="00C434E2" w:rsidRPr="00D64FC8">
        <w:tc>
          <w:tcPr>
            <w:tcW w:w="0" w:type="auto"/>
            <w:gridSpan w:val="2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General Principles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Biochemistry, Molecular Biology, Genetics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Tissue Response to Disease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Pharmacodynamic/Pharmacokinetic Processes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Microbial Biology and Infection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Microbial classification and its basis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Bacteria and bacterial diseases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Viruses and viral diseases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Fungi and fungal infections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Parasites and parasitic diseases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Principles of sterilization and pure culture technique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Immune Responses</w:t>
            </w:r>
          </w:p>
        </w:tc>
        <w:tc>
          <w:tcPr>
            <w:tcW w:w="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gridSpan w:val="2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Organ Systems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Hematopoietic &amp;lymphoreticular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Central &amp; peripheral nervous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Skin &amp; related connective tissue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Musculoskeletal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Respiratory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Cardiovascular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Gastrointestinal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Renal/urinary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Reproductive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gridSpan w:val="2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Immunology Module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Immunologic Processes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Immunologic Diseases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</w:tbl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Pr="00294873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  <w:r w:rsidRPr="00294873">
        <w:rPr>
          <w:rFonts w:ascii="Georgia" w:hAnsi="Georgia" w:cs="Times New Roman"/>
          <w:color w:val="083B51"/>
          <w:kern w:val="36"/>
          <w:sz w:val="70"/>
          <w:szCs w:val="70"/>
        </w:rPr>
        <w:t>Basic Science: Biochemistry</w:t>
      </w:r>
    </w:p>
    <w:p w:rsidR="00C434E2" w:rsidRPr="00294873" w:rsidRDefault="00C434E2" w:rsidP="00294873">
      <w:pPr>
        <w:shd w:val="clear" w:color="auto" w:fill="FFFFFF"/>
        <w:bidi w:val="0"/>
        <w:spacing w:after="150" w:line="270" w:lineRule="atLeast"/>
        <w:rPr>
          <w:rFonts w:ascii="Georgia" w:hAnsi="Georgia" w:cs="Times New Roman"/>
          <w:color w:val="000000"/>
          <w:sz w:val="26"/>
          <w:szCs w:val="26"/>
        </w:rPr>
      </w:pPr>
      <w:r w:rsidRPr="00294873">
        <w:rPr>
          <w:rFonts w:ascii="Georgia" w:hAnsi="Georgia" w:cs="Times New Roman"/>
          <w:color w:val="000000"/>
          <w:sz w:val="26"/>
          <w:szCs w:val="26"/>
        </w:rPr>
        <w:t>The Basic Science Biochemistry content outline includes:</w:t>
      </w:r>
    </w:p>
    <w:tbl>
      <w:tblPr>
        <w:tblW w:w="5000" w:type="pct"/>
        <w:tblInd w:w="-73" w:type="dxa"/>
        <w:tblBorders>
          <w:top w:val="single" w:sz="6" w:space="0" w:color="DEEBF3"/>
          <w:left w:val="single" w:sz="6" w:space="0" w:color="DEEBF3"/>
          <w:bottom w:val="single" w:sz="6" w:space="0" w:color="DEEBF3"/>
          <w:right w:val="single" w:sz="6" w:space="0" w:color="DEEBF3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158"/>
        <w:gridCol w:w="1238"/>
      </w:tblGrid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Gene expression: DNA structure, replication, and exchange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Gene expression: transcription (including defects)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Gene expression: translation (including defects)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Structure and function of proteins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Energy metabolism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Metabolic pathways of small molecules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Biology of cells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Human development and genetics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Biology of tissue response to disease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Nutrition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Pharmacodynamic and pharmacokinetic processes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Normal processes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Hematopoietic &amp;lymphoreticular system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Central &amp; peripheral nervous system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4263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Endocrine system</w:t>
            </w:r>
          </w:p>
        </w:tc>
        <w:tc>
          <w:tcPr>
            <w:tcW w:w="737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</w:tbl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Pr="00294873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  <w:r w:rsidRPr="00294873">
        <w:rPr>
          <w:rFonts w:ascii="Georgia" w:hAnsi="Georgia" w:cs="Times New Roman"/>
          <w:color w:val="083B51"/>
          <w:kern w:val="36"/>
          <w:sz w:val="70"/>
          <w:szCs w:val="70"/>
        </w:rPr>
        <w:t>Basic Science: Pathology</w:t>
      </w:r>
    </w:p>
    <w:p w:rsidR="00C434E2" w:rsidRPr="00294873" w:rsidRDefault="00C434E2" w:rsidP="00294873">
      <w:pPr>
        <w:shd w:val="clear" w:color="auto" w:fill="FFFFFF"/>
        <w:bidi w:val="0"/>
        <w:spacing w:after="150" w:line="270" w:lineRule="atLeast"/>
        <w:rPr>
          <w:rFonts w:ascii="Georgia" w:hAnsi="Georgia" w:cs="Times New Roman"/>
          <w:color w:val="000000"/>
          <w:sz w:val="26"/>
          <w:szCs w:val="26"/>
        </w:rPr>
      </w:pPr>
      <w:r w:rsidRPr="00294873">
        <w:rPr>
          <w:rFonts w:ascii="Georgia" w:hAnsi="Georgia" w:cs="Times New Roman"/>
          <w:color w:val="000000"/>
          <w:sz w:val="26"/>
          <w:szCs w:val="26"/>
        </w:rPr>
        <w:t>The Basic Science Pathology content outline includes:</w:t>
      </w:r>
    </w:p>
    <w:tbl>
      <w:tblPr>
        <w:tblW w:w="5000" w:type="pct"/>
        <w:tblInd w:w="-73" w:type="dxa"/>
        <w:tblBorders>
          <w:top w:val="single" w:sz="6" w:space="0" w:color="DEEBF3"/>
          <w:left w:val="single" w:sz="6" w:space="0" w:color="DEEBF3"/>
          <w:bottom w:val="single" w:sz="6" w:space="0" w:color="DEEBF3"/>
          <w:right w:val="single" w:sz="6" w:space="0" w:color="DEEBF3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20"/>
        <w:gridCol w:w="6549"/>
        <w:gridCol w:w="1427"/>
      </w:tblGrid>
      <w:tr w:rsidR="00C434E2" w:rsidRPr="00D64FC8">
        <w:tc>
          <w:tcPr>
            <w:tcW w:w="0" w:type="auto"/>
            <w:gridSpan w:val="2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General Principles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Cell Biology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Human Development and Genetics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Biology of Tissue Response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Multisystem Processes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Microbial Biology and Infection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Immune Responses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gridSpan w:val="2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Organ Systems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Hematopoietic &amp;lymphoreticular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Central &amp; peripheral nervous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Skin &amp; related connective tissue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Musculoskeletal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Respiratory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Cardiovascular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Gastrointestinal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Renal/urinary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Reproductive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Endocrine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</w:tbl>
    <w:p w:rsidR="00C434E2" w:rsidRPr="00294873" w:rsidRDefault="00C434E2" w:rsidP="00294873">
      <w:pPr>
        <w:shd w:val="clear" w:color="auto" w:fill="FFFFFF"/>
        <w:bidi w:val="0"/>
        <w:spacing w:after="150" w:line="270" w:lineRule="atLeast"/>
        <w:rPr>
          <w:rFonts w:ascii="Georgia" w:hAnsi="Georgia" w:cs="Times New Roman"/>
          <w:color w:val="000000"/>
          <w:sz w:val="26"/>
          <w:szCs w:val="26"/>
        </w:rPr>
      </w:pPr>
      <w:r w:rsidRPr="00294873">
        <w:rPr>
          <w:rFonts w:ascii="Georgia" w:hAnsi="Georgia" w:cs="Times New Roman"/>
          <w:color w:val="000000"/>
          <w:sz w:val="26"/>
          <w:szCs w:val="26"/>
        </w:rPr>
        <w:t> </w:t>
      </w: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Default="00C434E2" w:rsidP="00294873">
      <w:pPr>
        <w:pBdr>
          <w:bottom w:val="single" w:sz="6" w:space="0" w:color="CCCCCC"/>
        </w:pBdr>
        <w:shd w:val="clear" w:color="auto" w:fill="FFFFFF"/>
        <w:bidi w:val="0"/>
        <w:spacing w:after="0" w:line="630" w:lineRule="atLeast"/>
        <w:outlineLvl w:val="0"/>
        <w:rPr>
          <w:rFonts w:ascii="Georgia" w:hAnsi="Georgia" w:cs="Times New Roman"/>
          <w:color w:val="083B51"/>
          <w:kern w:val="36"/>
          <w:sz w:val="70"/>
          <w:szCs w:val="70"/>
        </w:rPr>
      </w:pPr>
    </w:p>
    <w:p w:rsidR="00C434E2" w:rsidRPr="00294873" w:rsidRDefault="00C434E2" w:rsidP="002B095E">
      <w:pPr>
        <w:bidi w:val="0"/>
        <w:rPr>
          <w:rFonts w:ascii="Georgia" w:hAnsi="Georgia" w:cs="Times New Roman"/>
          <w:color w:val="083B51"/>
          <w:kern w:val="36"/>
          <w:sz w:val="70"/>
          <w:szCs w:val="70"/>
        </w:rPr>
      </w:pPr>
      <w:r>
        <w:rPr>
          <w:rFonts w:ascii="Georgia" w:hAnsi="Georgia" w:cs="Times New Roman"/>
          <w:color w:val="083B51"/>
          <w:kern w:val="36"/>
          <w:sz w:val="70"/>
          <w:szCs w:val="70"/>
        </w:rPr>
        <w:br w:type="page"/>
      </w:r>
      <w:r w:rsidRPr="00294873">
        <w:rPr>
          <w:rFonts w:ascii="Georgia" w:hAnsi="Georgia" w:cs="Times New Roman"/>
          <w:color w:val="083B51"/>
          <w:kern w:val="36"/>
          <w:sz w:val="70"/>
          <w:szCs w:val="70"/>
        </w:rPr>
        <w:t>Basic Science: Pharmacology</w:t>
      </w:r>
    </w:p>
    <w:p w:rsidR="00C434E2" w:rsidRPr="00294873" w:rsidRDefault="00C434E2" w:rsidP="00294873">
      <w:pPr>
        <w:shd w:val="clear" w:color="auto" w:fill="FFFFFF"/>
        <w:bidi w:val="0"/>
        <w:spacing w:after="150" w:line="270" w:lineRule="atLeast"/>
        <w:rPr>
          <w:rFonts w:ascii="Georgia" w:hAnsi="Georgia" w:cs="Times New Roman"/>
          <w:color w:val="000000"/>
          <w:sz w:val="26"/>
          <w:szCs w:val="26"/>
        </w:rPr>
      </w:pPr>
      <w:r w:rsidRPr="00294873">
        <w:rPr>
          <w:rFonts w:ascii="Georgia" w:hAnsi="Georgia" w:cs="Times New Roman"/>
          <w:color w:val="000000"/>
          <w:sz w:val="26"/>
          <w:szCs w:val="26"/>
        </w:rPr>
        <w:t>The Basic Science Pharmacology content outline includes:</w:t>
      </w:r>
    </w:p>
    <w:tbl>
      <w:tblPr>
        <w:tblW w:w="5000" w:type="pct"/>
        <w:tblInd w:w="2" w:type="dxa"/>
        <w:tblBorders>
          <w:top w:val="single" w:sz="6" w:space="0" w:color="DEEBF3"/>
          <w:left w:val="single" w:sz="6" w:space="0" w:color="DEEBF3"/>
          <w:bottom w:val="single" w:sz="6" w:space="0" w:color="DEEBF3"/>
          <w:right w:val="single" w:sz="6" w:space="0" w:color="DEEBF3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6549"/>
        <w:gridCol w:w="1427"/>
      </w:tblGrid>
      <w:tr w:rsidR="00C434E2" w:rsidRPr="00D64FC8">
        <w:tc>
          <w:tcPr>
            <w:tcW w:w="0" w:type="auto"/>
            <w:gridSpan w:val="2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General Principles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Pharmacokinetics, Pharmacodynamics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Antimicrobial Drugs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250" w:type="pct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390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Carcinogens, Environmental Insults, Antineoplastic/Immunosuppressant Drugs</w:t>
            </w:r>
          </w:p>
        </w:tc>
        <w:tc>
          <w:tcPr>
            <w:tcW w:w="850" w:type="pct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gridSpan w:val="2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center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Organ Systems (including mechanism of action, therapy, adverse effect)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EFF5F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Hematopoietic &amp;lymphoreticular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Central &amp; peripheral nervous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Anesthetics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Hypnotics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Psychopharmacologic agents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Anticonvulsants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Stimulants, amphetamines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Antiparkinsonian drugs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Botulinum toxin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Neuromuscular junction blocking agents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Antiglaucoma drugs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Drugs used to decrease intracranial pressure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Antimigraine agents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Drugs affecting autonomic nervous system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Skin &amp; related connective tissue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Musculoskeletal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Respiratory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Cardiovascular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Gastrointestinal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Renal/urinary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Reproductive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C434E2" w:rsidRPr="00D64FC8">
        <w:tc>
          <w:tcPr>
            <w:tcW w:w="0" w:type="auto"/>
            <w:tcBorders>
              <w:top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  <w:right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34E2" w:rsidRPr="00294873" w:rsidRDefault="00C434E2" w:rsidP="00294873">
            <w:pPr>
              <w:bidi w:val="0"/>
              <w:spacing w:after="0" w:line="171" w:lineRule="atLeas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94873">
              <w:rPr>
                <w:rFonts w:ascii="Georgia" w:hAnsi="Georgia" w:cs="Times New Roman"/>
                <w:color w:val="000000"/>
                <w:sz w:val="18"/>
                <w:szCs w:val="18"/>
              </w:rPr>
              <w:t>Endocrine</w:t>
            </w:r>
          </w:p>
        </w:tc>
        <w:tc>
          <w:tcPr>
            <w:tcW w:w="0" w:type="auto"/>
            <w:tcBorders>
              <w:top w:val="single" w:sz="6" w:space="0" w:color="DEEBF3"/>
              <w:left w:val="single" w:sz="6" w:space="0" w:color="DEEBF3"/>
              <w:bottom w:val="single" w:sz="6" w:space="0" w:color="DEEB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34E2" w:rsidRPr="00294873" w:rsidRDefault="00C434E2" w:rsidP="00294873">
            <w:pPr>
              <w:bidi w:val="0"/>
              <w:spacing w:after="0" w:line="171" w:lineRule="atLeast"/>
              <w:jc w:val="right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</w:tbl>
    <w:p w:rsidR="00C434E2" w:rsidRDefault="00C434E2"/>
    <w:sectPr w:rsidR="00C434E2" w:rsidSect="00A73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DE5"/>
    <w:multiLevelType w:val="multilevel"/>
    <w:tmpl w:val="F59E57B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95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873"/>
    <w:rsid w:val="00294873"/>
    <w:rsid w:val="002A70E3"/>
    <w:rsid w:val="002B095E"/>
    <w:rsid w:val="00516BA4"/>
    <w:rsid w:val="006C1026"/>
    <w:rsid w:val="00A73488"/>
    <w:rsid w:val="00C434E2"/>
    <w:rsid w:val="00D64FC8"/>
    <w:rsid w:val="00F1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26"/>
    <w:pPr>
      <w:bidi/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9487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2A70E3"/>
    <w:pPr>
      <w:keepNext/>
      <w:keepLines/>
      <w:bidi w:val="0"/>
      <w:spacing w:before="200" w:after="0" w:line="240" w:lineRule="auto"/>
      <w:ind w:left="576" w:hanging="576"/>
      <w:jc w:val="both"/>
      <w:outlineLvl w:val="1"/>
    </w:pPr>
    <w:rPr>
      <w:rFonts w:eastAsia="Times New Roman" w:cs="Calibri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87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A70E3"/>
    <w:rPr>
      <w:rFonts w:ascii="Cambria" w:hAnsi="Cambria" w:cs="Times New Roman"/>
      <w:b/>
      <w:bCs/>
      <w:color w:val="auto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A70E3"/>
    <w:rPr>
      <w:rFonts w:ascii="Calibri" w:hAnsi="Calibri" w:cs="Calibr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rsid w:val="002948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9487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470</Words>
  <Characters>2350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Science: Microbiology</dc:title>
  <dc:subject/>
  <dc:creator>Racheli Nave</dc:creator>
  <cp:keywords/>
  <dc:description/>
  <cp:lastModifiedBy>הטכניון</cp:lastModifiedBy>
  <cp:revision>2</cp:revision>
  <dcterms:created xsi:type="dcterms:W3CDTF">2014-05-14T09:06:00Z</dcterms:created>
  <dcterms:modified xsi:type="dcterms:W3CDTF">2014-05-14T09:06:00Z</dcterms:modified>
</cp:coreProperties>
</file>